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spacing w:before="0" w:beforeAutospacing="0" w:after="0" w:afterAutospacing="0"/>
        <w:ind w:left="0" w:right="0" w:firstLine="0"/>
        <w:jc w:val="left"/>
        <w:rPr>
          <w:rFonts w:hint="eastAsia" w:ascii="黑体" w:eastAsia="黑体"/>
          <w:vanish w:val="0"/>
          <w:kern w:val="0"/>
          <w:sz w:val="32"/>
          <w:szCs w:val="32"/>
        </w:rPr>
      </w:pPr>
      <w:r>
        <w:rPr>
          <w:rFonts w:hint="eastAsia" w:ascii="黑体" w:eastAsia="黑体"/>
          <w:vanish w:val="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6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  <w:t>市级民办非企业单位2023年度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64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vanish w:val="0"/>
          <w:kern w:val="0"/>
          <w:sz w:val="44"/>
          <w:szCs w:val="44"/>
        </w:rPr>
        <w:t>检查结论公告</w:t>
      </w:r>
    </w:p>
    <w:p>
      <w:pPr>
        <w:rPr>
          <w:rFonts w:ascii="Calibri" w:hAnsi="Calibri" w:eastAsia="宋体" w:cs="Times New Roman"/>
          <w:kern w:val="2"/>
          <w:sz w:val="21"/>
          <w:szCs w:val="21"/>
        </w:rPr>
      </w:pPr>
    </w:p>
    <w:tbl>
      <w:tblPr>
        <w:tblStyle w:val="7"/>
        <w:tblW w:w="91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6455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  <w:hidden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黑体"/>
                <w:i w:val="0"/>
                <w:iCs w:val="0"/>
                <w:vanish w:val="0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黑体"/>
                <w:i w:val="0"/>
                <w:iCs w:val="0"/>
                <w:vanish w:val="0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  <w:t>社会组织名称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0"/>
              <w:jc w:val="center"/>
              <w:textAlignment w:val="center"/>
              <w:rPr>
                <w:rFonts w:ascii="Times New Roman" w:hAnsi="Times New Roman" w:eastAsia="黑体"/>
                <w:i w:val="0"/>
                <w:iCs w:val="0"/>
                <w:vanish w:val="0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  <w:t>年检结论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六安市鹏飞职业培训学校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六安市清华职业培训学校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六安市人才职业培训学校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六安市汇文中学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六安市黎明职业培训学校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六安开发区医院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六安市生产力促进中心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霍山文峰学校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六安阳光眼科医院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霍山县衡山补习学校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安徽省霍邱中学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六安市慧智中小企业服务中心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六安市鹏飞学校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皖西盐肤木研究所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六安市养老服务信息中心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六安市船员职业培训学校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六安市汇文学校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六安市晨光职业培训学校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六安市福寿社会服务中心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六安中山医院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六安市惠民职业培训学校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六安永康消化病专科医院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安徽省六安外国语学校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霍邱蓼都金水外科医院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六安市蓝天救援队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六安市乐仁公益组织发展中心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六安市银龄社会服务评估培训中心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六安市建桥职业培训学校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六安三农信息服务中心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六安市艺耕画院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六安市恒达职业培训学校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六安市青少年新媒体发展中心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六安恩三德华公益服务中心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六安市大别山中国画研究院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六安市方德公益服务中心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六安市百合职业培训学校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六安市谷雨社会工作服务中心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六安市星大洲特殊儿童教育发展中心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六安市华钰公益服务中心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六安市阳光社会工作服务中心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六安市创新职业培训学校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六安市暖阳社会工作服务中心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六安市启众职业培训学校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六安市银辉社会工作服务中心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六安市社会组织孵化发展中心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六安市向日葵社会工作服务中心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六安市精美职业培训学校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舒城育才学校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六安市棋院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六安市皖西网络拍卖服务中心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六安市建衡羽毛球俱乐部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六安市好管家职业培训学校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六安市清大东方消防职业培训学校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六安市悦跑团跑步俱乐部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六安市仁爱社会工作服务中心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六安新思路金融培训学校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六安市中联职业培训学校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六安市新星职业培训学校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六安市青少年国防教育服务中心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六安市巨人智能养老服务平台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六安市书法艺术研究院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六安市红十字会应急救护培训中心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六安市帮众职业培训学校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六安市永恒职业培训学校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六安市医疗纠纷调解委员会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六安市心海婚恋培训服务中心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六安市巨人养老服务评估中心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六安市鹏飞职业中专学校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皖西中医药物研究所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六安市清新居家养老服务中心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六安市金鹰网球俱乐部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六安中山画院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六安市中民城乡社区养老服务发展中心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六安市公信社会组织评估服务中心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金寨县新时代精英高级中学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六安市品牌酒评研推广中心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六安市肿瘤研究中心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六安市凌风武术舞蹈培训中心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六安市联合创新创业服务中心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六安市玉石奇石博物馆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六安茶与食品科学研究院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六安市和谐社区发展服务中心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六安九龙泌尿外科医院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六安市精诚社会工作发展服务中心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六安光桂江淮特种水产种苗研究所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6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六安市玉石观赏石艺术品研究院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3FE90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D95286-4E6F-4CCC-8268-22D5918A3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0</Words>
  <Characters>1299</Characters>
  <Lines>0</Lines>
  <Paragraphs>6</Paragraphs>
  <TotalTime>1</TotalTime>
  <ScaleCrop>false</ScaleCrop>
  <LinksUpToDate>false</LinksUpToDate>
  <CharactersWithSpaces>1732</CharactersWithSpaces>
  <Application>WPS Office_10.1.0.7468_F1E327BC-269C-435d-A152-05C5408002CA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2025-01-16T02:15:00Z</dcterms:created>
  <dc:creator>administrator</dc:creator>
  <cp:lastModifiedBy>Administrator</cp:lastModifiedBy>
  <dcterms:modified xsi:type="dcterms:W3CDTF">2025-01-16T02:49:03Z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